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6"/>
        <w:gridCol w:w="4986"/>
      </w:tblGrid>
      <w:tr w:rsidR="00941377" w:rsidRPr="003250BA" w:rsidTr="00A0468A">
        <w:trPr>
          <w:trHeight w:val="483"/>
        </w:trPr>
        <w:tc>
          <w:tcPr>
            <w:tcW w:w="4996" w:type="dxa"/>
          </w:tcPr>
          <w:p w:rsidR="00841E6B" w:rsidRPr="003250BA" w:rsidRDefault="00D83114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Bureau des IA-IPR</w:t>
            </w:r>
          </w:p>
          <w:p w:rsidR="00841E6B" w:rsidRPr="003250BA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841E6B" w:rsidRPr="003250BA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>Affaire suivie par :</w:t>
            </w:r>
          </w:p>
          <w:p w:rsidR="00841E6B" w:rsidRPr="003250BA" w:rsidRDefault="00D83114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Bertrand DENIS</w:t>
            </w:r>
          </w:p>
          <w:p w:rsidR="00841E6B" w:rsidRPr="003250BA" w:rsidRDefault="00841E6B" w:rsidP="00841E6B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 xml:space="preserve">Tél : </w:t>
            </w:r>
            <w:r w:rsidR="00D83114">
              <w:rPr>
                <w:rFonts w:cs="Arial"/>
                <w:szCs w:val="16"/>
              </w:rPr>
              <w:t>06 79 93 43 73</w:t>
            </w:r>
          </w:p>
          <w:p w:rsidR="00841E6B" w:rsidRDefault="00841E6B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3250BA">
              <w:rPr>
                <w:rFonts w:cs="Arial"/>
                <w:szCs w:val="16"/>
              </w:rPr>
              <w:t xml:space="preserve">Mél : </w:t>
            </w:r>
            <w:r w:rsidR="00D83114">
              <w:rPr>
                <w:rFonts w:cs="Arial"/>
                <w:szCs w:val="16"/>
              </w:rPr>
              <w:t>bertrand-cf.denis</w:t>
            </w:r>
            <w:r w:rsidR="003B72EE" w:rsidRPr="003B72EE">
              <w:rPr>
                <w:rFonts w:cs="Arial"/>
                <w:szCs w:val="16"/>
              </w:rPr>
              <w:t>@ac-lille</w:t>
            </w:r>
            <w:r w:rsidR="003B72EE">
              <w:rPr>
                <w:rFonts w:cs="Arial"/>
                <w:szCs w:val="16"/>
              </w:rPr>
              <w:t>.fr</w:t>
            </w:r>
          </w:p>
          <w:p w:rsidR="003B72EE" w:rsidRPr="003250BA" w:rsidRDefault="003B72EE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941377" w:rsidRDefault="003B72EE" w:rsidP="00841E6B">
            <w:pPr>
              <w:pStyle w:val="Texte-Adresseligne2"/>
              <w:framePr w:w="0" w:hRule="auto" w:wrap="auto" w:vAnchor="margin" w:hAnchor="text" w:xAlign="left" w:yAlign="inline"/>
              <w:rPr>
                <w:rStyle w:val="lrzxr"/>
              </w:rPr>
            </w:pPr>
            <w:r>
              <w:rPr>
                <w:rStyle w:val="lrzxr"/>
              </w:rPr>
              <w:t>144 rue de Bavay</w:t>
            </w:r>
          </w:p>
          <w:p w:rsidR="003B72EE" w:rsidRPr="003250BA" w:rsidRDefault="003B72EE" w:rsidP="00841E6B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Style w:val="lrzxr"/>
              </w:rPr>
              <w:t>59000 Lille</w:t>
            </w:r>
          </w:p>
        </w:tc>
        <w:tc>
          <w:tcPr>
            <w:tcW w:w="4986" w:type="dxa"/>
          </w:tcPr>
          <w:p w:rsidR="00941377" w:rsidRPr="003250BA" w:rsidRDefault="003B72EE" w:rsidP="007A4812">
            <w:pPr>
              <w:pStyle w:val="Date2"/>
              <w:spacing w:before="0"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Lille, le</w:t>
            </w:r>
            <w:r w:rsidR="007A4812">
              <w:rPr>
                <w:sz w:val="20"/>
                <w:szCs w:val="20"/>
              </w:rPr>
              <w:t xml:space="preserve"> 4 mai 2023</w:t>
            </w:r>
          </w:p>
          <w:p w:rsidR="00941377" w:rsidRPr="003250BA" w:rsidRDefault="007A4812" w:rsidP="008E5B4A">
            <w:pPr>
              <w:pStyle w:val="Corpsdetexte"/>
              <w:tabs>
                <w:tab w:val="left" w:pos="1680"/>
                <w:tab w:val="right" w:pos="4986"/>
              </w:tabs>
              <w:spacing w:line="480" w:lineRule="auto"/>
            </w:pPr>
            <w:r>
              <w:t xml:space="preserve">Aux professeurs de philosophie de l’académie de Lille </w:t>
            </w:r>
            <w:bookmarkStart w:id="0" w:name="_GoBack"/>
            <w:bookmarkEnd w:id="0"/>
          </w:p>
        </w:tc>
      </w:tr>
    </w:tbl>
    <w:p w:rsidR="003240AC" w:rsidRPr="003250BA" w:rsidRDefault="007A4812" w:rsidP="00B55B58">
      <w:pPr>
        <w:pStyle w:val="Corpsdetexte"/>
        <w:sectPr w:rsidR="003240AC" w:rsidRPr="003250BA" w:rsidSect="00A16BF4">
          <w:headerReference w:type="default" r:id="rId11"/>
          <w:footerReference w:type="even" r:id="rId12"/>
          <w:type w:val="continuous"/>
          <w:pgSz w:w="11910" w:h="16840"/>
          <w:pgMar w:top="3686" w:right="964" w:bottom="964" w:left="964" w:header="720" w:footer="720" w:gutter="0"/>
          <w:cols w:space="720"/>
        </w:sectPr>
      </w:pPr>
      <w:r>
        <w:t xml:space="preserve">  </w:t>
      </w:r>
    </w:p>
    <w:p w:rsidR="00C26074" w:rsidRPr="003250BA" w:rsidRDefault="00C26074" w:rsidP="003D6149">
      <w:pPr>
        <w:pStyle w:val="Corpsdetexte"/>
        <w:jc w:val="both"/>
      </w:pPr>
    </w:p>
    <w:p w:rsidR="007A4812" w:rsidRPr="007A4812" w:rsidRDefault="007A4812" w:rsidP="007A4812">
      <w:pPr>
        <w:spacing w:before="100" w:beforeAutospacing="1"/>
      </w:pPr>
      <w:r w:rsidRPr="007A4812">
        <w:t xml:space="preserve">Chères et chers collègues, </w:t>
      </w:r>
    </w:p>
    <w:p w:rsidR="007A4812" w:rsidRPr="007A4812" w:rsidRDefault="007A4812" w:rsidP="007A4812">
      <w:pPr>
        <w:spacing w:before="100" w:beforeAutospacing="1"/>
      </w:pPr>
      <w:r w:rsidRPr="007A4812">
        <w:t> </w:t>
      </w:r>
    </w:p>
    <w:p w:rsidR="007A4812" w:rsidRPr="007A4812" w:rsidRDefault="007A4812" w:rsidP="007A4812">
      <w:pPr>
        <w:spacing w:before="100" w:beforeAutospacing="1"/>
      </w:pPr>
      <w:r w:rsidRPr="007A4812">
        <w:t>Une note d’avril de la Mission de Pilotage des Examens propose une présentation synthétique des épreuves du baccalauréat. (</w:t>
      </w:r>
      <w:hyperlink r:id="rId13" w:history="1">
        <w:r w:rsidRPr="007A4812">
          <w:rPr>
            <w:rStyle w:val="Lienhypertexte"/>
          </w:rPr>
          <w:t>https://eduscol.education.fr/725/presentation-du-baccalaureat-general</w:t>
        </w:r>
      </w:hyperlink>
      <w:r w:rsidRPr="007A4812">
        <w:t xml:space="preserve">) </w:t>
      </w:r>
    </w:p>
    <w:p w:rsidR="007A4812" w:rsidRPr="007A4812" w:rsidRDefault="007A4812" w:rsidP="007A4812">
      <w:pPr>
        <w:spacing w:before="100" w:beforeAutospacing="1"/>
      </w:pPr>
      <w:r w:rsidRPr="007A4812">
        <w:t>Elle indique notamment dans un tableau le programme de l’épreuve de contrôle pour chacun des enseignements de spécialité.</w:t>
      </w:r>
    </w:p>
    <w:p w:rsidR="007A4812" w:rsidRPr="007A4812" w:rsidRDefault="007A4812" w:rsidP="007A4812">
      <w:r w:rsidRPr="007A4812">
        <w:t>(</w:t>
      </w:r>
      <w:hyperlink r:id="rId14" w:history="1">
        <w:r w:rsidRPr="007A4812">
          <w:rPr>
            <w:rStyle w:val="Lienhypertexte"/>
          </w:rPr>
          <w:t>https://eduscol.education.fr/document/49568/download</w:t>
        </w:r>
      </w:hyperlink>
      <w:r w:rsidRPr="007A4812">
        <w:t xml:space="preserve">) </w:t>
      </w:r>
    </w:p>
    <w:p w:rsidR="007A4812" w:rsidRPr="007A4812" w:rsidRDefault="007A4812" w:rsidP="007A4812">
      <w:pPr>
        <w:spacing w:before="100" w:beforeAutospacing="1"/>
      </w:pPr>
      <w:r w:rsidRPr="007A4812">
        <w:rPr>
          <w:b/>
        </w:rPr>
        <w:t xml:space="preserve">La mention « programme complet de terminale » spécifiant entre autres le cas de la spécialité « HLP » ne doit pas prêter à confusion, et ne fait que représenter le cas général, auquel il convient d’appliquer la restriction du programme limitatif en vigueur pour l’épreuve écrite de mars, </w:t>
      </w:r>
      <w:r w:rsidRPr="007A4812">
        <w:t>ainsi que le précise une note interne d’avril 2023 des groupes lettres et philosophie de l’IGESR adressée aux IA-IPR en charge de l’épreuve.</w:t>
      </w:r>
    </w:p>
    <w:p w:rsidR="007A4812" w:rsidRPr="007A4812" w:rsidRDefault="007A4812" w:rsidP="007A4812">
      <w:pPr>
        <w:spacing w:before="100" w:beforeAutospacing="1"/>
      </w:pPr>
      <w:r w:rsidRPr="007A4812">
        <w:br/>
        <w:t>L’épreuve pour l’enseignement de spécialité « Humanités, littérature et philosophie »  reste en effet encadrée par le texte du Bulletin officiel n° 2 du 13 février 2020, qui explicite la limitation du programme.</w:t>
      </w:r>
      <w:r w:rsidRPr="007A4812">
        <w:br/>
        <w:t>(</w:t>
      </w:r>
      <w:hyperlink r:id="rId15" w:history="1">
        <w:r w:rsidRPr="007A4812">
          <w:rPr>
            <w:rStyle w:val="Lienhypertexte"/>
          </w:rPr>
          <w:t>https://www.education.gouv.fr/bo/20/Special2/MENE2001793N.htm</w:t>
        </w:r>
      </w:hyperlink>
      <w:r w:rsidRPr="007A4812">
        <w:t xml:space="preserve">) </w:t>
      </w:r>
      <w:r w:rsidRPr="007A4812">
        <w:br/>
        <w:t xml:space="preserve"> </w:t>
      </w:r>
    </w:p>
    <w:p w:rsidR="007A4812" w:rsidRPr="007A4812" w:rsidRDefault="007A4812" w:rsidP="007A4812">
      <w:pPr>
        <w:spacing w:before="100" w:beforeAutospacing="1"/>
      </w:pPr>
      <w:r w:rsidRPr="007A4812">
        <w:t>Le B.O. précise ensuite la définition de l’épreuve orale de contrôle :</w:t>
      </w:r>
    </w:p>
    <w:p w:rsidR="007A4812" w:rsidRPr="007A4812" w:rsidRDefault="007A4812" w:rsidP="007A4812">
      <w:pPr>
        <w:spacing w:before="100" w:beforeAutospacing="1"/>
        <w:rPr>
          <w:rFonts w:ascii="Calibri" w:hAnsi="Calibri" w:cs="Calibri"/>
          <w:sz w:val="20"/>
          <w:szCs w:val="20"/>
        </w:rPr>
      </w:pPr>
      <w:r w:rsidRPr="007A4812">
        <w:rPr>
          <w:rFonts w:ascii="Calibri" w:hAnsi="Calibri" w:cs="Calibri"/>
          <w:sz w:val="20"/>
          <w:szCs w:val="20"/>
        </w:rPr>
        <w:t>« Durée : 20 minutes</w:t>
      </w:r>
      <w:r w:rsidRPr="007A4812">
        <w:rPr>
          <w:rFonts w:ascii="Calibri" w:hAnsi="Calibri" w:cs="Calibri"/>
          <w:sz w:val="20"/>
          <w:szCs w:val="20"/>
        </w:rPr>
        <w:br/>
        <w:t>Temps de préparation : 20 minutes</w:t>
      </w:r>
      <w:r w:rsidRPr="007A4812">
        <w:rPr>
          <w:rFonts w:ascii="Calibri" w:hAnsi="Calibri" w:cs="Calibri"/>
          <w:sz w:val="20"/>
          <w:szCs w:val="20"/>
        </w:rPr>
        <w:br/>
        <w:t>L'épreuve porte sur le programme de l'enseignement de spécialité humanités, littérature et</w:t>
      </w:r>
      <w:r w:rsidRPr="007A4812">
        <w:rPr>
          <w:rFonts w:ascii="Calibri" w:hAnsi="Calibri" w:cs="Calibri"/>
          <w:sz w:val="20"/>
          <w:szCs w:val="20"/>
        </w:rPr>
        <w:br/>
        <w:t>philosophie de la classe de terminale.</w:t>
      </w:r>
      <w:r w:rsidRPr="007A4812">
        <w:rPr>
          <w:rFonts w:ascii="Calibri" w:hAnsi="Calibri" w:cs="Calibri"/>
          <w:sz w:val="20"/>
          <w:szCs w:val="20"/>
        </w:rPr>
        <w:br/>
        <w:t>Le candidat se voit remettre un sujet par l'examinateur, qui relève soit d'une question de littérature (si</w:t>
      </w:r>
      <w:r w:rsidRPr="007A4812">
        <w:rPr>
          <w:rFonts w:ascii="Calibri" w:hAnsi="Calibri" w:cs="Calibri"/>
          <w:sz w:val="20"/>
          <w:szCs w:val="20"/>
        </w:rPr>
        <w:br/>
        <w:t>l'examinateur est un professeur de lettres) ; soit d'une question de philosophie (si l'examinateur est</w:t>
      </w:r>
      <w:r w:rsidRPr="007A4812">
        <w:rPr>
          <w:rFonts w:ascii="Calibri" w:hAnsi="Calibri" w:cs="Calibri"/>
          <w:sz w:val="20"/>
          <w:szCs w:val="20"/>
        </w:rPr>
        <w:br/>
        <w:t>un professeur de philosophie). L'énoncé du sujet prend la forme d'une interrogation associée au thème</w:t>
      </w:r>
      <w:r w:rsidRPr="007A4812">
        <w:rPr>
          <w:rFonts w:ascii="Calibri" w:hAnsi="Calibri" w:cs="Calibri"/>
          <w:sz w:val="20"/>
          <w:szCs w:val="20"/>
        </w:rPr>
        <w:br/>
        <w:t>de l'épreuve écrite.</w:t>
      </w:r>
      <w:r w:rsidRPr="007A4812">
        <w:rPr>
          <w:rFonts w:ascii="Calibri" w:hAnsi="Calibri" w:cs="Calibri"/>
          <w:sz w:val="20"/>
          <w:szCs w:val="20"/>
        </w:rPr>
        <w:br/>
        <w:t>Le candidat répond à la question posée pendant un maximum de 10 minutes. Il est libre de mobiliser</w:t>
      </w:r>
      <w:r w:rsidRPr="007A4812">
        <w:rPr>
          <w:rFonts w:ascii="Calibri" w:hAnsi="Calibri" w:cs="Calibri"/>
          <w:sz w:val="20"/>
          <w:szCs w:val="20"/>
        </w:rPr>
        <w:br/>
        <w:t>les références (textes et œuvres) qui lui paraissent pertinentes. Le reste du temps est constitué d'un</w:t>
      </w:r>
      <w:r w:rsidRPr="007A4812">
        <w:rPr>
          <w:rFonts w:ascii="Calibri" w:hAnsi="Calibri" w:cs="Calibri"/>
          <w:sz w:val="20"/>
          <w:szCs w:val="20"/>
        </w:rPr>
        <w:br/>
        <w:t>entretien entre le candidat et l'examinateur. Prenant place dans un oral de contrôle, l'entretien ne</w:t>
      </w:r>
      <w:r w:rsidRPr="007A4812">
        <w:rPr>
          <w:rFonts w:ascii="Calibri" w:hAnsi="Calibri" w:cs="Calibri"/>
          <w:sz w:val="20"/>
          <w:szCs w:val="20"/>
        </w:rPr>
        <w:br/>
      </w:r>
      <w:r w:rsidRPr="007A4812">
        <w:rPr>
          <w:rFonts w:ascii="Calibri" w:hAnsi="Calibri" w:cs="Calibri"/>
          <w:sz w:val="20"/>
          <w:szCs w:val="20"/>
        </w:rPr>
        <w:lastRenderedPageBreak/>
        <w:t>saurait exiger du candidat des connaissances qui n'ont pas été attendues de lui dans le cadre de</w:t>
      </w:r>
      <w:r w:rsidRPr="007A4812">
        <w:rPr>
          <w:rFonts w:ascii="Calibri" w:hAnsi="Calibri" w:cs="Calibri"/>
          <w:sz w:val="20"/>
          <w:szCs w:val="20"/>
        </w:rPr>
        <w:br/>
        <w:t>l'épreuve écrite. Il permet en revanche au candidat, sur la base du sujet qui lui est proposé, de</w:t>
      </w:r>
      <w:r w:rsidRPr="007A4812">
        <w:rPr>
          <w:rFonts w:ascii="Calibri" w:hAnsi="Calibri" w:cs="Calibri"/>
          <w:sz w:val="20"/>
          <w:szCs w:val="20"/>
        </w:rPr>
        <w:br/>
        <w:t>manifester ses connaissances et ses capacités de réflexion. L'examinateur évalue la maîtrise des</w:t>
      </w:r>
      <w:r w:rsidRPr="007A4812">
        <w:rPr>
          <w:rFonts w:ascii="Calibri" w:hAnsi="Calibri" w:cs="Calibri"/>
          <w:sz w:val="20"/>
          <w:szCs w:val="20"/>
        </w:rPr>
        <w:br/>
        <w:t>connaissances et la clarté de l'exposition.</w:t>
      </w:r>
      <w:r w:rsidRPr="007A4812">
        <w:rPr>
          <w:rFonts w:ascii="Calibri" w:hAnsi="Calibri" w:cs="Calibri"/>
          <w:sz w:val="20"/>
          <w:szCs w:val="20"/>
        </w:rPr>
        <w:br/>
        <w:t>L'évaluation des réponses de chaque candidat est globale et doit utiliser tout l'éventail des notes de 0</w:t>
      </w:r>
      <w:r w:rsidRPr="007A4812">
        <w:rPr>
          <w:rFonts w:ascii="Calibri" w:hAnsi="Calibri" w:cs="Calibri"/>
          <w:sz w:val="20"/>
          <w:szCs w:val="20"/>
        </w:rPr>
        <w:br/>
        <w:t>à 20. »</w:t>
      </w:r>
    </w:p>
    <w:p w:rsidR="007A4812" w:rsidRPr="007A4812" w:rsidRDefault="007A4812" w:rsidP="007A4812">
      <w:pPr>
        <w:spacing w:before="100" w:beforeAutospacing="1"/>
      </w:pPr>
      <w:r w:rsidRPr="007A4812">
        <w:br/>
        <w:t>L’élément décisif à prendre compte pour la mise en œuvre concrète de cette épreuve de contrôle est le suivant : « L'énoncé du sujet prend la forme d'une interrogation associée au thème de l'épreuve</w:t>
      </w:r>
      <w:r w:rsidRPr="007A4812">
        <w:br/>
        <w:t>écrite ».</w:t>
      </w:r>
      <w:r w:rsidRPr="007A4812">
        <w:br/>
        <w:t>Il est donc nécessaire que l’examinateur, professeur de Lettres ou de Philosophie :</w:t>
      </w:r>
    </w:p>
    <w:p w:rsidR="007A4812" w:rsidRPr="007A4812" w:rsidRDefault="007A4812" w:rsidP="007A4812">
      <w:pPr>
        <w:spacing w:before="100" w:beforeAutospacing="1" w:after="100" w:afterAutospacing="1"/>
      </w:pPr>
      <w:r w:rsidRPr="007A4812">
        <w:rPr>
          <w:rFonts w:ascii="Courier New" w:hAnsi="Courier New" w:cs="Courier New"/>
        </w:rPr>
        <w:t xml:space="preserve">- </w:t>
      </w:r>
      <w:r w:rsidRPr="007A4812">
        <w:t>prépare des sujets relatifs aux deux objets d’étude constituant « le programme de l’année de terminale » relativement à l’épreuve écrite (à savoir : « La recherche de soi » ; « L’humanité en question ») ;</w:t>
      </w:r>
      <w:r w:rsidRPr="007A4812">
        <w:br/>
        <w:t>- demande au candidat s’il a composé en J1 ou en J2 et, au vu de sa réponse, lui propose un sujet sur le thème de son épreuve écrite.</w:t>
      </w:r>
    </w:p>
    <w:p w:rsidR="007A4812" w:rsidRPr="007A4812" w:rsidRDefault="007A4812" w:rsidP="007A4812">
      <w:pPr>
        <w:spacing w:before="100" w:beforeAutospacing="1" w:after="100" w:afterAutospacing="1"/>
      </w:pPr>
      <w:r w:rsidRPr="007A4812">
        <w:br/>
        <w:t>On respecte ainsi le principe fondateur d’une épreuve « de contrôle » : on propose au candidat un sujet qui ne redouble pas le sujet de l’épreuve écrite, mais qui porte sur le même thème.</w:t>
      </w:r>
    </w:p>
    <w:p w:rsidR="007A4812" w:rsidRPr="007A4812" w:rsidRDefault="007A4812" w:rsidP="007A4812">
      <w:pPr>
        <w:spacing w:before="100" w:beforeAutospacing="1" w:after="100" w:afterAutospacing="1"/>
      </w:pPr>
      <w:r w:rsidRPr="007A4812">
        <w:t xml:space="preserve">Espérant que ce message complète utilement votre information et vous aide à répondre aux légitimes questions de vos élèves pour se préparer au mieux aux épreuves de l’examen, </w:t>
      </w:r>
    </w:p>
    <w:p w:rsidR="007A4812" w:rsidRPr="007A4812" w:rsidRDefault="007A4812" w:rsidP="007A4812">
      <w:pPr>
        <w:spacing w:before="100" w:beforeAutospacing="1" w:after="100" w:afterAutospacing="1"/>
      </w:pPr>
      <w:r w:rsidRPr="007A4812">
        <w:t xml:space="preserve">Avec ma sincère considération, </w:t>
      </w:r>
    </w:p>
    <w:p w:rsidR="007A4812" w:rsidRPr="007A4812" w:rsidRDefault="007A4812" w:rsidP="007A4812">
      <w:pPr>
        <w:spacing w:before="100" w:beforeAutospacing="1" w:after="100" w:afterAutospacing="1"/>
      </w:pPr>
      <w:r w:rsidRPr="007A4812">
        <w:t>Bertrand DENIS</w:t>
      </w:r>
    </w:p>
    <w:p w:rsidR="000924D0" w:rsidRPr="003250BA" w:rsidRDefault="000924D0" w:rsidP="00B55B58">
      <w:pPr>
        <w:pStyle w:val="Corpsdetexte"/>
      </w:pPr>
    </w:p>
    <w:sectPr w:rsidR="000924D0" w:rsidRPr="003250BA" w:rsidSect="002C53DF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47" w:rsidRDefault="001E1C47" w:rsidP="0079276E">
      <w:r>
        <w:separator/>
      </w:r>
    </w:p>
  </w:endnote>
  <w:endnote w:type="continuationSeparator" w:id="0">
    <w:p w:rsidR="001E1C47" w:rsidRDefault="001E1C4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E5B4A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3D6149" w:rsidRPr="003D6149" w:rsidRDefault="003D6149" w:rsidP="00A16BF4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47" w:rsidRDefault="001E1C47" w:rsidP="0079276E">
      <w:r>
        <w:separator/>
      </w:r>
    </w:p>
  </w:footnote>
  <w:footnote w:type="continuationSeparator" w:id="0">
    <w:p w:rsidR="001E1C47" w:rsidRDefault="001E1C4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Pr="00A0468A" w:rsidRDefault="00A16BF4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FB33317" wp14:editId="48BBFD74">
          <wp:simplePos x="0" y="0"/>
          <wp:positionH relativeFrom="margin">
            <wp:posOffset>-9525</wp:posOffset>
          </wp:positionH>
          <wp:positionV relativeFrom="paragraph">
            <wp:posOffset>76200</wp:posOffset>
          </wp:positionV>
          <wp:extent cx="876300" cy="86995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79276E" w:rsidRDefault="00863FD6" w:rsidP="0042101F">
    <w:pPr>
      <w:pStyle w:val="ServiceInfoHeader"/>
    </w:pPr>
    <w:r>
      <w:t>Inspection pédagogique régionale</w:t>
    </w:r>
  </w:p>
  <w:p w:rsidR="00863FD6" w:rsidRPr="00863FD6" w:rsidRDefault="00863FD6" w:rsidP="00863FD6">
    <w:pPr>
      <w:pStyle w:val="Corpsdetexte"/>
    </w:pPr>
    <w:proofErr w:type="gramStart"/>
    <w:r>
      <w:t>d</w:t>
    </w:r>
    <w:proofErr w:type="gramEnd"/>
  </w:p>
  <w:p w:rsidR="003B72EE" w:rsidRPr="00A0468A" w:rsidRDefault="00863FD6" w:rsidP="003B72EE">
    <w:pPr>
      <w:pStyle w:val="Corpsdetexte"/>
      <w:jc w:val="right"/>
      <w:rPr>
        <w:b/>
        <w:bCs/>
        <w:sz w:val="24"/>
        <w:szCs w:val="24"/>
      </w:rPr>
    </w:pPr>
    <w:proofErr w:type="gramStart"/>
    <w:r>
      <w:rPr>
        <w:b/>
        <w:bCs/>
        <w:sz w:val="24"/>
        <w:szCs w:val="24"/>
      </w:rPr>
      <w:t>de</w:t>
    </w:r>
    <w:proofErr w:type="gramEnd"/>
    <w:r>
      <w:rPr>
        <w:b/>
        <w:bCs/>
        <w:sz w:val="24"/>
        <w:szCs w:val="24"/>
      </w:rPr>
      <w:t xml:space="preserve"> philosophie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22"/>
    <w:rsid w:val="00015220"/>
    <w:rsid w:val="00045DCD"/>
    <w:rsid w:val="00046EC0"/>
    <w:rsid w:val="00047613"/>
    <w:rsid w:val="00081F5E"/>
    <w:rsid w:val="000924D0"/>
    <w:rsid w:val="001200FD"/>
    <w:rsid w:val="001648E4"/>
    <w:rsid w:val="00173CDC"/>
    <w:rsid w:val="001C79E5"/>
    <w:rsid w:val="001E1C47"/>
    <w:rsid w:val="001F209A"/>
    <w:rsid w:val="00202B2A"/>
    <w:rsid w:val="00290741"/>
    <w:rsid w:val="00290CE8"/>
    <w:rsid w:val="00293194"/>
    <w:rsid w:val="002C53DF"/>
    <w:rsid w:val="002F0722"/>
    <w:rsid w:val="003240AC"/>
    <w:rsid w:val="003250BA"/>
    <w:rsid w:val="003961F5"/>
    <w:rsid w:val="003A7BC3"/>
    <w:rsid w:val="003B72EE"/>
    <w:rsid w:val="003B74A9"/>
    <w:rsid w:val="003D1DE1"/>
    <w:rsid w:val="003D6149"/>
    <w:rsid w:val="003F2312"/>
    <w:rsid w:val="0042101F"/>
    <w:rsid w:val="004529DA"/>
    <w:rsid w:val="00452D76"/>
    <w:rsid w:val="004608CD"/>
    <w:rsid w:val="004936AF"/>
    <w:rsid w:val="004C7346"/>
    <w:rsid w:val="004D0D46"/>
    <w:rsid w:val="004D1619"/>
    <w:rsid w:val="004E7415"/>
    <w:rsid w:val="00513B0E"/>
    <w:rsid w:val="00521BCD"/>
    <w:rsid w:val="00533FB0"/>
    <w:rsid w:val="00544729"/>
    <w:rsid w:val="0057177D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859B0"/>
    <w:rsid w:val="006A4ADA"/>
    <w:rsid w:val="006D502A"/>
    <w:rsid w:val="007721F0"/>
    <w:rsid w:val="0079276E"/>
    <w:rsid w:val="007A4812"/>
    <w:rsid w:val="007B4F8D"/>
    <w:rsid w:val="007B6F11"/>
    <w:rsid w:val="007E2D34"/>
    <w:rsid w:val="007F1724"/>
    <w:rsid w:val="00802F1D"/>
    <w:rsid w:val="00807CCD"/>
    <w:rsid w:val="0081060F"/>
    <w:rsid w:val="00822782"/>
    <w:rsid w:val="00841E6B"/>
    <w:rsid w:val="00847039"/>
    <w:rsid w:val="00851458"/>
    <w:rsid w:val="00863FD6"/>
    <w:rsid w:val="008912C9"/>
    <w:rsid w:val="008A73FE"/>
    <w:rsid w:val="008E5B4A"/>
    <w:rsid w:val="00930B38"/>
    <w:rsid w:val="00936712"/>
    <w:rsid w:val="00936E45"/>
    <w:rsid w:val="00941377"/>
    <w:rsid w:val="00992DBA"/>
    <w:rsid w:val="009C0C96"/>
    <w:rsid w:val="009F56A7"/>
    <w:rsid w:val="00A0468A"/>
    <w:rsid w:val="00A10A83"/>
    <w:rsid w:val="00A124A0"/>
    <w:rsid w:val="00A1486F"/>
    <w:rsid w:val="00A16BF4"/>
    <w:rsid w:val="00A30EA6"/>
    <w:rsid w:val="00A440C0"/>
    <w:rsid w:val="00A84CCB"/>
    <w:rsid w:val="00AE48FE"/>
    <w:rsid w:val="00AF1D5B"/>
    <w:rsid w:val="00B02E79"/>
    <w:rsid w:val="00B05F90"/>
    <w:rsid w:val="00B37451"/>
    <w:rsid w:val="00B46AF7"/>
    <w:rsid w:val="00B55B58"/>
    <w:rsid w:val="00C220A3"/>
    <w:rsid w:val="00C26074"/>
    <w:rsid w:val="00C41844"/>
    <w:rsid w:val="00C56E78"/>
    <w:rsid w:val="00C57944"/>
    <w:rsid w:val="00C66322"/>
    <w:rsid w:val="00C67312"/>
    <w:rsid w:val="00C7451D"/>
    <w:rsid w:val="00CD5E65"/>
    <w:rsid w:val="00CE16E3"/>
    <w:rsid w:val="00CE1BE6"/>
    <w:rsid w:val="00D10C52"/>
    <w:rsid w:val="00D208CE"/>
    <w:rsid w:val="00D83114"/>
    <w:rsid w:val="00D96935"/>
    <w:rsid w:val="00DA2090"/>
    <w:rsid w:val="00DC5BB5"/>
    <w:rsid w:val="00DD50D6"/>
    <w:rsid w:val="00E05336"/>
    <w:rsid w:val="00E669F0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C12F"/>
  <w15:docId w15:val="{C702654C-A8D3-4D9E-A59A-5E0C1E3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A16B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BF4"/>
    <w:rPr>
      <w:rFonts w:ascii="Segoe UI" w:hAnsi="Segoe UI" w:cs="Segoe UI"/>
      <w:sz w:val="18"/>
      <w:szCs w:val="18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A4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4812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scol.education.fr/725/presentation-du-baccalaureat-gener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gouv.fr/bo/20/Special2/MENE2001793N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scol.education.fr/document/49568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enis4\AppData\Local\Temp\courrier_acLille_forme_personnell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CFBF9-E4E9-4DC6-900B-D477704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courrier_acLille_forme_personnelle</Template>
  <TotalTime>2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Bertrand DENIS</dc:creator>
  <cp:lastModifiedBy>Bertrand Denis</cp:lastModifiedBy>
  <cp:revision>4</cp:revision>
  <cp:lastPrinted>2020-09-10T12:28:00Z</cp:lastPrinted>
  <dcterms:created xsi:type="dcterms:W3CDTF">2023-05-03T23:01:00Z</dcterms:created>
  <dcterms:modified xsi:type="dcterms:W3CDTF">2023-05-03T23:02:00Z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